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78" w:type="dxa"/>
        <w:tblInd w:w="250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1980"/>
        <w:gridCol w:w="2302"/>
        <w:gridCol w:w="2302"/>
        <w:gridCol w:w="2446"/>
        <w:gridCol w:w="2302"/>
        <w:gridCol w:w="2746"/>
      </w:tblGrid>
      <w:tr w:rsidR="00497ED9" w:rsidRPr="004522CD" w:rsidTr="00497ED9">
        <w:trPr>
          <w:trHeight w:val="490"/>
        </w:trPr>
        <w:tc>
          <w:tcPr>
            <w:tcW w:w="198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UNIT 3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WEEK NO. 8-12</w:t>
            </w:r>
          </w:p>
        </w:tc>
        <w:tc>
          <w:tcPr>
            <w:tcW w:w="23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SS’ ACTIVITIES</w:t>
            </w:r>
          </w:p>
        </w:tc>
        <w:tc>
          <w:tcPr>
            <w:tcW w:w="23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T’ ACTIVITIES</w:t>
            </w:r>
          </w:p>
        </w:tc>
        <w:tc>
          <w:tcPr>
            <w:tcW w:w="24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PLACE</w:t>
            </w:r>
          </w:p>
        </w:tc>
        <w:tc>
          <w:tcPr>
            <w:tcW w:w="23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WORK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</w:p>
        </w:tc>
        <w:tc>
          <w:tcPr>
            <w:tcW w:w="274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EVALUATION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(%)</w:t>
            </w:r>
          </w:p>
        </w:tc>
      </w:tr>
      <w:tr w:rsidR="00497ED9" w:rsidRPr="004522CD" w:rsidTr="00497ED9">
        <w:trPr>
          <w:trHeight w:val="8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3.1 "My Neighborhood"</w:t>
            </w:r>
          </w:p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(Demonstrative adjectives, there is/there are).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In your notebook describe the place where you live (how is it, what places are there, </w:t>
            </w:r>
            <w:proofErr w:type="spellStart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etc</w:t>
            </w:r>
            <w:proofErr w:type="spellEnd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). After that say in the site if this place likes you or not and why.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T provides information about how to describe a place.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T grades and comments their job.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Classroom- ICT in the LELI site.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 w:eastAsia="en-US"/>
              </w:rPr>
              <w:t>1%</w:t>
            </w:r>
          </w:p>
        </w:tc>
      </w:tr>
      <w:tr w:rsidR="00497ED9" w:rsidRPr="004522CD" w:rsidTr="00497ED9">
        <w:trPr>
          <w:trHeight w:val="106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</w:tcPr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3.2 Give and Follow Directions</w:t>
            </w:r>
          </w:p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(Prepositions of place, public places).</w:t>
            </w:r>
          </w:p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In a paper Bond create a guessing map in which you </w:t>
            </w:r>
            <w:proofErr w:type="gramStart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can  give</w:t>
            </w:r>
            <w:proofErr w:type="gramEnd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 and receive instructions for in order to arrive a specific place, following directions and instructions.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T coordinates the development of the activities.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Classroom.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Collaborative/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Teams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 w:eastAsia="en-US"/>
              </w:rPr>
              <w:t>2%</w:t>
            </w:r>
          </w:p>
        </w:tc>
      </w:tr>
      <w:tr w:rsidR="00497ED9" w:rsidRPr="004522CD" w:rsidTr="00497ED9">
        <w:trPr>
          <w:trHeight w:val="1291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3.3 “Project of life”</w:t>
            </w:r>
          </w:p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(Future will and going to, professions, jobs.)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Share with your partners what is your own project of life, what and how you want to be. And finally make comments on their partners’ information.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T checks the </w:t>
            </w:r>
            <w:proofErr w:type="spellStart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 work and also T has to comment something about this.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ICT (Blog of the class).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Individual and Collaborative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 w:eastAsia="en-US"/>
              </w:rPr>
              <w:t>1%</w:t>
            </w:r>
          </w:p>
        </w:tc>
      </w:tr>
      <w:tr w:rsidR="00497ED9" w:rsidRPr="004522CD" w:rsidTr="00497ED9">
        <w:trPr>
          <w:trHeight w:val="106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3.4 “Time out”</w:t>
            </w:r>
          </w:p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(Giving opinions, tag questions, adjectives of opinion).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Give your own opinion to some topics or comments T provides you.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T posts or gives some information or comments about some topics. T corrects ss.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ICT (LELI site).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Individual 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 w:eastAsia="en-US"/>
              </w:rPr>
              <w:t>1%</w:t>
            </w:r>
          </w:p>
        </w:tc>
      </w:tr>
      <w:tr w:rsidR="00497ED9" w:rsidRPr="004522CD" w:rsidTr="00497ED9">
        <w:trPr>
          <w:trHeight w:val="106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3.5 “Menus and Recipes”</w:t>
            </w:r>
          </w:p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(Countable and uncountable nouns, quantifiers, vocabulary food).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Make a triptych about a menu or a recipe about your favorite food.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Explain it in front of class.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T guides and helps ss. At the end T grades the </w:t>
            </w:r>
            <w:proofErr w:type="spellStart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ss’</w:t>
            </w:r>
            <w:proofErr w:type="spellEnd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 works.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Classroom.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Collaborative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 w:eastAsia="en-US"/>
              </w:rPr>
              <w:t>3%</w:t>
            </w:r>
          </w:p>
        </w:tc>
      </w:tr>
      <w:tr w:rsidR="00497ED9" w:rsidRPr="004522CD" w:rsidTr="00497ED9">
        <w:trPr>
          <w:trHeight w:val="106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3.6 “Soaps and movies”</w:t>
            </w:r>
          </w:p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(Question words, possessive pronouns, past tense questions).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Guess who a famous person is. And after that  create a guess description about their favorite actor, singer, etc.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T guides </w:t>
            </w:r>
            <w:proofErr w:type="spellStart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 and motivate them to create something good.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Classroom.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1%</w:t>
            </w:r>
          </w:p>
        </w:tc>
      </w:tr>
      <w:tr w:rsidR="00497ED9" w:rsidRPr="004522CD" w:rsidTr="00497ED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tabs>
                <w:tab w:val="center" w:pos="1097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7ED9" w:rsidRPr="004522CD" w:rsidTr="00497ED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tabs>
                <w:tab w:val="center" w:pos="1097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97ED9" w:rsidRPr="004522CD" w:rsidTr="00497ED9">
        <w:trPr>
          <w:trHeight w:val="8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3.7 “Comparing things”</w:t>
            </w:r>
          </w:p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/>
              </w:rPr>
              <w:t>(Quite, too, very, much).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Answer the exercises of your book about comparing things.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T will provide some web pages in which </w:t>
            </w:r>
            <w:proofErr w:type="spellStart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 can practice their knowledge.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tabs>
                <w:tab w:val="center" w:pos="1097"/>
              </w:tabs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ab/>
              <w:t>Classroom.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1%</w:t>
            </w: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97ED9" w:rsidRPr="004522CD" w:rsidRDefault="00497ED9" w:rsidP="00CC02A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97ED9" w:rsidRPr="004522CD" w:rsidRDefault="00497ED9" w:rsidP="00CC02A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497ED9" w:rsidRPr="004522CD" w:rsidTr="00497ED9">
        <w:trPr>
          <w:trHeight w:val="8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4BACC6"/>
            <w:vAlign w:val="center"/>
            <w:hideMark/>
          </w:tcPr>
          <w:p w:rsidR="00497ED9" w:rsidRPr="004522CD" w:rsidRDefault="00497ED9" w:rsidP="00CC02A5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  <w:t>EVALUATION</w:t>
            </w:r>
          </w:p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Answer the exam on the platform.</w:t>
            </w:r>
          </w:p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T scores </w:t>
            </w:r>
            <w:proofErr w:type="spellStart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 and later T sends their grades.</w:t>
            </w:r>
          </w:p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Then   publishes on site the best </w:t>
            </w:r>
            <w:proofErr w:type="spellStart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ss</w:t>
            </w:r>
            <w:proofErr w:type="spellEnd"/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 xml:space="preserve"> of the month according to the highest score.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ICT (Platform).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Individual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7ED9" w:rsidRPr="004522CD" w:rsidRDefault="00497ED9" w:rsidP="00CC02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522CD">
              <w:rPr>
                <w:rFonts w:ascii="Arial" w:hAnsi="Arial" w:cs="Arial"/>
                <w:sz w:val="16"/>
                <w:szCs w:val="16"/>
                <w:lang w:val="en-US"/>
              </w:rPr>
              <w:t>15%</w:t>
            </w:r>
          </w:p>
        </w:tc>
      </w:tr>
      <w:tr w:rsidR="00497ED9" w:rsidRPr="004522CD" w:rsidTr="00497ED9">
        <w:tc>
          <w:tcPr>
            <w:tcW w:w="19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4BACC6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tabs>
                <w:tab w:val="center" w:pos="1097"/>
              </w:tabs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74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D8D8D8"/>
            <w:hideMark/>
          </w:tcPr>
          <w:p w:rsidR="00497ED9" w:rsidRPr="004522CD" w:rsidRDefault="00497ED9" w:rsidP="00CC02A5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456DA1" w:rsidRDefault="00456DA1">
      <w:bookmarkStart w:id="0" w:name="_GoBack"/>
      <w:bookmarkEnd w:id="0"/>
    </w:p>
    <w:sectPr w:rsidR="00456DA1" w:rsidSect="00497E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D9"/>
    <w:rsid w:val="00456DA1"/>
    <w:rsid w:val="004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D9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D9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1</cp:revision>
  <dcterms:created xsi:type="dcterms:W3CDTF">2010-11-20T01:38:00Z</dcterms:created>
  <dcterms:modified xsi:type="dcterms:W3CDTF">2010-11-20T01:40:00Z</dcterms:modified>
</cp:coreProperties>
</file>